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2"/>
        <w:numPr>
          <w:ilvl w:val="1"/>
          <w:numId w:val="1"/>
        </w:numPr>
        <w:ind w:left="1440" w:hanging="360"/>
        <w:jc w:val="both"/>
        <w:rPr>
          <w:b w:val="1"/>
          <w:color w:val="0b5394"/>
          <w:sz w:val="24"/>
          <w:szCs w:val="24"/>
        </w:rPr>
      </w:pPr>
      <w:bookmarkStart w:colFirst="0" w:colLast="0" w:name="_heading=h.gf09tqbiz0ht" w:id="0"/>
      <w:bookmarkEnd w:id="0"/>
      <w:r w:rsidDel="00000000" w:rsidR="00000000" w:rsidRPr="00000000">
        <w:rPr>
          <w:b w:val="1"/>
          <w:color w:val="0b5394"/>
          <w:sz w:val="24"/>
          <w:szCs w:val="24"/>
          <w:rtl w:val="0"/>
        </w:rPr>
        <w:t xml:space="preserve">LOTE-3. ESPECIFICACIONES TÉCNICAS DE LA NUEVA INSTALACIÓN</w:t>
      </w:r>
    </w:p>
    <w:p w:rsidR="00000000" w:rsidDel="00000000" w:rsidP="00000000" w:rsidRDefault="00000000" w:rsidRPr="00000000" w14:paraId="00000002">
      <w:pPr>
        <w:pStyle w:val="Heading3"/>
        <w:numPr>
          <w:ilvl w:val="2"/>
          <w:numId w:val="1"/>
        </w:numPr>
        <w:ind w:left="2160" w:hanging="360"/>
        <w:jc w:val="both"/>
        <w:rPr>
          <w:b w:val="1"/>
          <w:color w:val="0b5394"/>
          <w:sz w:val="24"/>
          <w:szCs w:val="24"/>
        </w:rPr>
      </w:pPr>
      <w:bookmarkStart w:colFirst="0" w:colLast="0" w:name="_heading=h.fxc9loeh1zun" w:id="1"/>
      <w:bookmarkEnd w:id="1"/>
      <w:r w:rsidDel="00000000" w:rsidR="00000000" w:rsidRPr="00000000">
        <w:rPr>
          <w:b w:val="1"/>
          <w:color w:val="0b5394"/>
          <w:sz w:val="24"/>
          <w:szCs w:val="24"/>
          <w:u w:val="single"/>
          <w:rtl w:val="0"/>
        </w:rPr>
        <w:t xml:space="preserve">ANTECEDENTES</w:t>
      </w: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t xml:space="preserve">En diciembre de 2018 se procedió a la sustitución de los dos equipos de polielectrolito de la Estación Depuradora de Aguas Residuales (EDAR) de Sant Feliu de Llobregat, manteniéndose, sin embargo, los tanques de maduración y almacenamiento existentes. Estos tanques fueron instalados en el año 2004, coincidiendo con una modificación de la línea de tratamiento de lodos que consistió en la eliminación de los filtros de banda y la incorporación de dos centrífugas, así como de los dos equipos de polielectrolito que posteriormente fueron sustituidos en 2018. Por lo tanto, los tanques actuales tienen una antigüedad de 20 años.</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t xml:space="preserve">Se considera necesaria su sustitución debido a su estado de deterioro avanzado, caracterizado por un alto grado de oxidación y la presencia de pequeños picotazos que provocan pérdidas de agua, agravando así su estado. La reparación de los tanques no es viable, ya que el acero inoxidable se encuentra "contaminado" y el espesor de los tanques es insuficiente para permitir cualquier modificación estructural.</w:t>
      </w:r>
    </w:p>
    <w:p w:rsidR="00000000" w:rsidDel="00000000" w:rsidP="00000000" w:rsidRDefault="00000000" w:rsidRPr="00000000" w14:paraId="00000007">
      <w:pPr>
        <w:spacing w:line="240" w:lineRule="auto"/>
        <w:ind w:left="720" w:firstLine="0"/>
        <w:jc w:val="both"/>
        <w:rPr>
          <w:shd w:fill="fff2cc" w:val="clear"/>
        </w:rPr>
      </w:pPr>
      <w:r w:rsidDel="00000000" w:rsidR="00000000" w:rsidRPr="00000000">
        <w:rPr>
          <w:rtl w:val="0"/>
        </w:rPr>
      </w:r>
    </w:p>
    <w:p w:rsidR="00000000" w:rsidDel="00000000" w:rsidP="00000000" w:rsidRDefault="00000000" w:rsidRPr="00000000" w14:paraId="00000008">
      <w:pPr>
        <w:shd w:fill="ffffff" w:val="clear"/>
        <w:spacing w:line="240" w:lineRule="auto"/>
        <w:ind w:left="720" w:firstLine="0"/>
        <w:rPr>
          <w:shd w:fill="fff2cc" w:val="clear"/>
        </w:rPr>
      </w:pPr>
      <w:r w:rsidDel="00000000" w:rsidR="00000000" w:rsidRPr="00000000">
        <w:rPr>
          <w:shd w:fill="fff2cc" w:val="clear"/>
        </w:rPr>
        <w:drawing>
          <wp:inline distB="0" distT="0" distL="0" distR="0">
            <wp:extent cx="2332212" cy="3109981"/>
            <wp:effectExtent b="0" l="0" r="0" t="0"/>
            <wp:docPr id="51" name="image8.jpg"/>
            <a:graphic>
              <a:graphicData uri="http://schemas.openxmlformats.org/drawingml/2006/picture">
                <pic:pic>
                  <pic:nvPicPr>
                    <pic:cNvPr id="0" name="image8.jpg"/>
                    <pic:cNvPicPr preferRelativeResize="0"/>
                  </pic:nvPicPr>
                  <pic:blipFill>
                    <a:blip r:embed="rId7"/>
                    <a:srcRect b="0" l="0" r="0" t="0"/>
                    <a:stretch>
                      <a:fillRect/>
                    </a:stretch>
                  </pic:blipFill>
                  <pic:spPr>
                    <a:xfrm>
                      <a:off x="0" y="0"/>
                      <a:ext cx="2332212" cy="3109981"/>
                    </a:xfrm>
                    <a:prstGeom prst="rect"/>
                    <a:ln/>
                  </pic:spPr>
                </pic:pic>
              </a:graphicData>
            </a:graphic>
          </wp:inline>
        </w:drawing>
      </w:r>
      <w:r w:rsidDel="00000000" w:rsidR="00000000" w:rsidRPr="00000000">
        <w:rPr>
          <w:shd w:fill="fff2cc" w:val="clear"/>
        </w:rPr>
        <w:drawing>
          <wp:inline distB="0" distT="0" distL="0" distR="0">
            <wp:extent cx="2323900" cy="3098898"/>
            <wp:effectExtent b="0" l="0" r="0" t="0"/>
            <wp:docPr id="53" name="image3.jpg"/>
            <a:graphic>
              <a:graphicData uri="http://schemas.openxmlformats.org/drawingml/2006/picture">
                <pic:pic>
                  <pic:nvPicPr>
                    <pic:cNvPr id="0" name="image3.jpg"/>
                    <pic:cNvPicPr preferRelativeResize="0"/>
                  </pic:nvPicPr>
                  <pic:blipFill>
                    <a:blip r:embed="rId8"/>
                    <a:srcRect b="0" l="0" r="0" t="0"/>
                    <a:stretch>
                      <a:fillRect/>
                    </a:stretch>
                  </pic:blipFill>
                  <pic:spPr>
                    <a:xfrm>
                      <a:off x="0" y="0"/>
                      <a:ext cx="2323900" cy="3098898"/>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spacing w:line="240" w:lineRule="auto"/>
        <w:ind w:left="720" w:firstLine="0"/>
        <w:rPr>
          <w:shd w:fill="fff2cc" w:val="clear"/>
        </w:rPr>
      </w:pPr>
      <w:r w:rsidDel="00000000" w:rsidR="00000000" w:rsidRPr="00000000">
        <w:rPr>
          <w:rtl w:val="0"/>
        </w:rPr>
      </w:r>
    </w:p>
    <w:p w:rsidR="00000000" w:rsidDel="00000000" w:rsidP="00000000" w:rsidRDefault="00000000" w:rsidRPr="00000000" w14:paraId="0000000A">
      <w:pPr>
        <w:spacing w:line="240" w:lineRule="auto"/>
        <w:ind w:left="720" w:firstLine="0"/>
        <w:rPr>
          <w:shd w:fill="fff2cc" w:val="clear"/>
        </w:rPr>
      </w:pPr>
      <w:r w:rsidDel="00000000" w:rsidR="00000000" w:rsidRPr="00000000">
        <w:rPr>
          <w:shd w:fill="fff2cc" w:val="clear"/>
        </w:rPr>
        <w:drawing>
          <wp:inline distB="0" distT="0" distL="0" distR="0">
            <wp:extent cx="4151424" cy="3113080"/>
            <wp:effectExtent b="0" l="0" r="0" t="0"/>
            <wp:docPr id="52" name="image1.jpg"/>
            <a:graphic>
              <a:graphicData uri="http://schemas.openxmlformats.org/drawingml/2006/picture">
                <pic:pic>
                  <pic:nvPicPr>
                    <pic:cNvPr id="0" name="image1.jpg"/>
                    <pic:cNvPicPr preferRelativeResize="0"/>
                  </pic:nvPicPr>
                  <pic:blipFill>
                    <a:blip r:embed="rId9"/>
                    <a:srcRect b="0" l="0" r="0" t="0"/>
                    <a:stretch>
                      <a:fillRect/>
                    </a:stretch>
                  </pic:blipFill>
                  <pic:spPr>
                    <a:xfrm>
                      <a:off x="0" y="0"/>
                      <a:ext cx="4151424" cy="3113080"/>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spacing w:line="240" w:lineRule="auto"/>
        <w:ind w:left="0" w:firstLine="0"/>
        <w:rPr/>
      </w:pPr>
      <w:r w:rsidDel="00000000" w:rsidR="00000000" w:rsidRPr="00000000">
        <w:rPr>
          <w:rtl w:val="0"/>
        </w:rPr>
      </w:r>
    </w:p>
    <w:p w:rsidR="00000000" w:rsidDel="00000000" w:rsidP="00000000" w:rsidRDefault="00000000" w:rsidRPr="00000000" w14:paraId="0000000C">
      <w:pPr>
        <w:spacing w:line="240" w:lineRule="auto"/>
        <w:ind w:left="720" w:firstLine="0"/>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t xml:space="preserve">El acceso a la instalación es al edificio de deshidratación de lodos (20) desde un acceso colindante a (17) espesamiento de lodos.</w:t>
      </w:r>
    </w:p>
    <w:p w:rsidR="00000000" w:rsidDel="00000000" w:rsidP="00000000" w:rsidRDefault="00000000" w:rsidRPr="00000000" w14:paraId="0000000E">
      <w:pPr>
        <w:spacing w:line="240" w:lineRule="auto"/>
        <w:ind w:left="720" w:firstLine="0"/>
        <w:rPr>
          <w:b w:val="1"/>
          <w:shd w:fill="fff2cc" w:val="clear"/>
        </w:rPr>
      </w:pPr>
      <w:r w:rsidDel="00000000" w:rsidR="00000000" w:rsidRPr="00000000">
        <w:rPr>
          <w:rtl w:val="0"/>
        </w:rPr>
        <w:br w:type="textWrapping"/>
      </w:r>
      <w:r w:rsidDel="00000000" w:rsidR="00000000" w:rsidRPr="00000000">
        <w:rPr>
          <w:shd w:fill="fff2cc" w:val="clear"/>
          <w:rtl w:val="0"/>
        </w:rPr>
        <w:br w:type="textWrapping"/>
      </w:r>
      <w:r w:rsidDel="00000000" w:rsidR="00000000" w:rsidRPr="00000000">
        <w:rPr>
          <w:shd w:fill="fff2cc" w:val="clear"/>
        </w:rPr>
        <w:drawing>
          <wp:inline distB="114300" distT="114300" distL="114300" distR="114300">
            <wp:extent cx="5528000" cy="3759200"/>
            <wp:effectExtent b="0" l="0" r="0" t="0"/>
            <wp:docPr id="55"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5528000" cy="3759200"/>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keepNext w:val="1"/>
        <w:spacing w:line="240" w:lineRule="auto"/>
        <w:ind w:left="720" w:firstLine="0"/>
        <w:jc w:val="both"/>
        <w:rPr>
          <w:b w:val="1"/>
          <w:shd w:fill="fff2cc" w:val="clear"/>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t xml:space="preserve">Los depósitos se encuentran en la planta baja del edificio, se pueden ver las medidas del mismo en el Plan adjunto 28.4.1 AMPLIACIÓN EDIFICIO DE DESHIDRATACIÓN PLANTAS Y FACHADAS.</w:t>
      </w:r>
    </w:p>
    <w:p w:rsidR="00000000" w:rsidDel="00000000" w:rsidP="00000000" w:rsidRDefault="00000000" w:rsidRPr="00000000" w14:paraId="00000011">
      <w:pPr>
        <w:pStyle w:val="Heading3"/>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80" w:before="320" w:line="276" w:lineRule="auto"/>
        <w:ind w:left="2160" w:right="0" w:hanging="360"/>
        <w:jc w:val="both"/>
        <w:rPr>
          <w:b w:val="1"/>
          <w:color w:val="0b5394"/>
          <w:sz w:val="24"/>
          <w:szCs w:val="24"/>
        </w:rPr>
      </w:pPr>
      <w:bookmarkStart w:colFirst="0" w:colLast="0" w:name="_heading=h.3wy3tzgh9xmi" w:id="2"/>
      <w:bookmarkEnd w:id="2"/>
      <w:r w:rsidDel="00000000" w:rsidR="00000000" w:rsidRPr="00000000">
        <w:rPr>
          <w:b w:val="1"/>
          <w:color w:val="0b5394"/>
          <w:sz w:val="24"/>
          <w:szCs w:val="24"/>
          <w:u w:val="single"/>
          <w:rtl w:val="0"/>
        </w:rPr>
        <w:t xml:space="preserve">OBJETO, DESCRIPCIÓN DE LOS TRABAJOS Y ALCANCE DE LOS MISMOS</w:t>
      </w:r>
    </w:p>
    <w:p w:rsidR="00000000" w:rsidDel="00000000" w:rsidP="00000000" w:rsidRDefault="00000000" w:rsidRPr="00000000" w14:paraId="00000012">
      <w:pPr>
        <w:keepNext w:val="1"/>
        <w:spacing w:line="240" w:lineRule="auto"/>
        <w:ind w:left="720" w:firstLine="0"/>
        <w:jc w:val="both"/>
        <w:rPr>
          <w:b w:val="1"/>
          <w:shd w:fill="fff2cc" w:val="clear"/>
        </w:rPr>
      </w:pPr>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t xml:space="preserve">Deberán sustituirse los depósitos actuales por unos nuevos de la misma capacidad y deben servir igualmente para la preparación y almacenamiento de polielectrolito.</w:t>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t xml:space="preserve">Las medidas máximas de los mismos deberán ser de anchura 1,4 y 4,2 metros de profundidad. La altura de los depósitos debe ser lo más cercana a 2,15 metros que es la altura de la plataforma de la escalera desde la que se accede actualmente, haciendo así que se pueda reducir al máximo los elementos accesorios para habilitar el acceso a la parte superior del depósito y a sus motores. Las medidas descritas son a fin de poder utilizar el espacio de los equipos actuales y el acceso desde la puerta existente a través de un paso estrecho de escaleras, la anchura mínima del cual es de 1,6m.</w:t>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r>
    </w:p>
    <w:p w:rsidR="00000000" w:rsidDel="00000000" w:rsidP="00000000" w:rsidRDefault="00000000" w:rsidRPr="00000000" w14:paraId="00000017">
      <w:pPr>
        <w:spacing w:line="240" w:lineRule="auto"/>
        <w:ind w:left="720" w:firstLine="0"/>
        <w:jc w:val="both"/>
        <w:rPr>
          <w:shd w:fill="fff2cc" w:val="clear"/>
        </w:rPr>
      </w:pPr>
      <w:r w:rsidDel="00000000" w:rsidR="00000000" w:rsidRPr="00000000">
        <w:rPr>
          <w:shd w:fill="fff2cc" w:val="clear"/>
        </w:rPr>
        <w:drawing>
          <wp:inline distB="114300" distT="114300" distL="114300" distR="114300">
            <wp:extent cx="5528000" cy="4140200"/>
            <wp:effectExtent b="0" l="0" r="0" t="0"/>
            <wp:docPr id="54" name="image6.jpg"/>
            <a:graphic>
              <a:graphicData uri="http://schemas.openxmlformats.org/drawingml/2006/picture">
                <pic:pic>
                  <pic:nvPicPr>
                    <pic:cNvPr id="0" name="image6.jpg"/>
                    <pic:cNvPicPr preferRelativeResize="0"/>
                  </pic:nvPicPr>
                  <pic:blipFill>
                    <a:blip r:embed="rId11"/>
                    <a:srcRect b="0" l="0" r="0" t="0"/>
                    <a:stretch>
                      <a:fillRect/>
                    </a:stretch>
                  </pic:blipFill>
                  <pic:spPr>
                    <a:xfrm>
                      <a:off x="0" y="0"/>
                      <a:ext cx="5528000" cy="4140200"/>
                    </a:xfrm>
                    <a:prstGeom prst="rect"/>
                    <a:ln/>
                  </pic:spPr>
                </pic:pic>
              </a:graphicData>
            </a:graphic>
          </wp:inline>
        </w:drawing>
      </w:r>
      <w:r w:rsidDel="00000000" w:rsidR="00000000" w:rsidRPr="00000000">
        <w:rPr>
          <w:shd w:fill="fff2cc" w:val="clear"/>
        </w:rPr>
        <w:drawing>
          <wp:inline distB="114300" distT="114300" distL="114300" distR="114300">
            <wp:extent cx="5528000" cy="4140200"/>
            <wp:effectExtent b="0" l="0" r="0" t="0"/>
            <wp:docPr id="57" name="image5.jpg"/>
            <a:graphic>
              <a:graphicData uri="http://schemas.openxmlformats.org/drawingml/2006/picture">
                <pic:pic>
                  <pic:nvPicPr>
                    <pic:cNvPr id="0" name="image5.jpg"/>
                    <pic:cNvPicPr preferRelativeResize="0"/>
                  </pic:nvPicPr>
                  <pic:blipFill>
                    <a:blip r:embed="rId12"/>
                    <a:srcRect b="0" l="0" r="0" t="0"/>
                    <a:stretch>
                      <a:fillRect/>
                    </a:stretch>
                  </pic:blipFill>
                  <pic:spPr>
                    <a:xfrm>
                      <a:off x="0" y="0"/>
                      <a:ext cx="5528000" cy="4140200"/>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spacing w:line="240" w:lineRule="auto"/>
        <w:ind w:left="720" w:firstLine="0"/>
        <w:jc w:val="both"/>
        <w:rPr>
          <w:shd w:fill="fff2cc" w:val="clear"/>
        </w:rPr>
      </w:pP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highlight w:val="white"/>
        </w:rPr>
      </w:pPr>
      <w:r w:rsidDel="00000000" w:rsidR="00000000" w:rsidRPr="00000000">
        <w:rPr>
          <w:rtl w:val="0"/>
        </w:rPr>
        <w:t xml:space="preserve">Tam</w:t>
      </w:r>
      <w:r w:rsidDel="00000000" w:rsidR="00000000" w:rsidRPr="00000000">
        <w:rPr>
          <w:highlight w:val="white"/>
          <w:rtl w:val="0"/>
        </w:rPr>
        <w:t xml:space="preserve">bién son objeto de la licitación las escaleras y barandas para acceder a los motores de agitación de la parte superior en caso de no poder aprovechar las actuales por variación con las medidas de los depósitos actuales. El acceso a la parte superior deberá quedar adaptado de la siguiente manera, observe la imagen de ejemplo:</w:t>
      </w:r>
    </w:p>
    <w:p w:rsidR="00000000" w:rsidDel="00000000" w:rsidP="00000000" w:rsidRDefault="00000000" w:rsidRPr="00000000" w14:paraId="0000001A">
      <w:pPr>
        <w:spacing w:line="240" w:lineRule="auto"/>
        <w:ind w:left="720" w:firstLine="0"/>
        <w:jc w:val="center"/>
        <w:rPr>
          <w:highlight w:val="white"/>
        </w:rPr>
      </w:pPr>
      <w:r w:rsidDel="00000000" w:rsidR="00000000" w:rsidRPr="00000000">
        <w:rPr>
          <w:highlight w:val="white"/>
          <w:rtl w:val="0"/>
        </w:rPr>
        <w:br w:type="textWrapping"/>
      </w:r>
      <w:r w:rsidDel="00000000" w:rsidR="00000000" w:rsidRPr="00000000">
        <w:rPr>
          <w:highlight w:val="white"/>
        </w:rPr>
        <w:drawing>
          <wp:inline distB="114300" distT="114300" distL="114300" distR="114300">
            <wp:extent cx="1665288" cy="2350766"/>
            <wp:effectExtent b="0" l="0" r="0" t="0"/>
            <wp:docPr id="56"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1665288" cy="2350766"/>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spacing w:line="240" w:lineRule="auto"/>
        <w:ind w:left="0" w:firstLine="0"/>
        <w:jc w:val="both"/>
        <w:rPr>
          <w:highlight w:val="white"/>
        </w:rPr>
      </w:pPr>
      <w:r w:rsidDel="00000000" w:rsidR="00000000" w:rsidRPr="00000000">
        <w:rPr>
          <w:rFonts w:ascii="Roboto" w:cs="Roboto" w:eastAsia="Roboto" w:hAnsi="Roboto"/>
          <w:color w:val="1c1c1f"/>
          <w:highlight w:val="white"/>
          <w:rtl w:val="0"/>
        </w:rPr>
        <w:t xml:space="preserve">Cada tanque deberá disponer de su agitador con una hélice marina y una para emulsionar.</w:t>
      </w:r>
      <w:r w:rsidDel="00000000" w:rsidR="00000000" w:rsidRPr="00000000">
        <w:rPr>
          <w:rtl w:val="0"/>
        </w:rPr>
      </w:r>
    </w:p>
    <w:p w:rsidR="00000000" w:rsidDel="00000000" w:rsidP="00000000" w:rsidRDefault="00000000" w:rsidRPr="00000000" w14:paraId="0000001C">
      <w:pPr>
        <w:spacing w:line="240" w:lineRule="auto"/>
        <w:ind w:left="720" w:firstLine="0"/>
        <w:jc w:val="center"/>
        <w:rPr>
          <w:highlight w:val="white"/>
        </w:rPr>
      </w:pPr>
      <w:r w:rsidDel="00000000" w:rsidR="00000000" w:rsidRPr="00000000">
        <w:rPr>
          <w:highlight w:val="white"/>
        </w:rPr>
        <mc:AlternateContent>
          <mc:Choice Requires="wpg">
            <w:drawing>
              <wp:inline distB="114300" distT="114300" distL="114300" distR="114300">
                <wp:extent cx="2115681" cy="3314383"/>
                <wp:effectExtent b="0" l="0" r="0" t="0"/>
                <wp:docPr id="48" name=""/>
                <a:graphic>
                  <a:graphicData uri="http://schemas.microsoft.com/office/word/2010/wordprocessingGroup">
                    <wpg:wgp>
                      <wpg:cNvGrpSpPr/>
                      <wpg:grpSpPr>
                        <a:xfrm>
                          <a:off x="4288150" y="2122800"/>
                          <a:ext cx="2115681" cy="3314383"/>
                          <a:chOff x="4288150" y="2122800"/>
                          <a:chExt cx="2115700" cy="3314400"/>
                        </a:xfrm>
                      </wpg:grpSpPr>
                      <wpg:grpSp>
                        <wpg:cNvGrpSpPr/>
                        <wpg:grpSpPr>
                          <a:xfrm>
                            <a:off x="4288160" y="2122809"/>
                            <a:ext cx="2115681" cy="3314383"/>
                            <a:chOff x="152400" y="152400"/>
                            <a:chExt cx="3629025" cy="5695950"/>
                          </a:xfrm>
                        </wpg:grpSpPr>
                        <wps:wsp>
                          <wps:cNvSpPr/>
                          <wps:cNvPr id="3" name="Shape 3"/>
                          <wps:spPr>
                            <a:xfrm>
                              <a:off x="152400" y="152400"/>
                              <a:ext cx="3629025" cy="5695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 name="Shape 4"/>
                            <pic:cNvPicPr preferRelativeResize="0"/>
                          </pic:nvPicPr>
                          <pic:blipFill rotWithShape="1">
                            <a:blip r:embed="rId14">
                              <a:alphaModFix/>
                            </a:blip>
                            <a:srcRect b="0" l="0" r="0" t="0"/>
                            <a:stretch/>
                          </pic:blipFill>
                          <pic:spPr>
                            <a:xfrm>
                              <a:off x="152400" y="152400"/>
                              <a:ext cx="3629025" cy="5695950"/>
                            </a:xfrm>
                            <a:prstGeom prst="rect">
                              <a:avLst/>
                            </a:prstGeom>
                            <a:noFill/>
                            <a:ln>
                              <a:noFill/>
                            </a:ln>
                          </pic:spPr>
                        </pic:pic>
                        <wps:wsp>
                          <wps:cNvSpPr/>
                          <wps:cNvPr id="5" name="Shape 5"/>
                          <wps:spPr>
                            <a:xfrm>
                              <a:off x="3116950" y="655775"/>
                              <a:ext cx="140700" cy="431700"/>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6" name="Shape 6"/>
                          <wps:spPr>
                            <a:xfrm>
                              <a:off x="1577400" y="1547400"/>
                              <a:ext cx="351600" cy="140700"/>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7" name="Shape 7"/>
                          <wps:spPr>
                            <a:xfrm>
                              <a:off x="2802400" y="3204150"/>
                              <a:ext cx="271200" cy="140700"/>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8" name="Shape 8"/>
                          <wps:spPr>
                            <a:xfrm>
                              <a:off x="1970775" y="5545500"/>
                              <a:ext cx="271200" cy="140700"/>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9" name="Shape 9"/>
                          <wps:spPr>
                            <a:xfrm>
                              <a:off x="742725" y="2997300"/>
                              <a:ext cx="140700" cy="431700"/>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10" name="Shape 10"/>
                          <wps:spPr>
                            <a:xfrm>
                              <a:off x="935025" y="3941675"/>
                              <a:ext cx="77700" cy="431700"/>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g:grpSp>
                    </wpg:wgp>
                  </a:graphicData>
                </a:graphic>
              </wp:inline>
            </w:drawing>
          </mc:Choice>
          <mc:Fallback>
            <w:drawing>
              <wp:inline distB="114300" distT="114300" distL="114300" distR="114300">
                <wp:extent cx="2115681" cy="3314383"/>
                <wp:effectExtent b="0" l="0" r="0" t="0"/>
                <wp:docPr id="48" name="image9.png"/>
                <a:graphic>
                  <a:graphicData uri="http://schemas.openxmlformats.org/drawingml/2006/picture">
                    <pic:pic>
                      <pic:nvPicPr>
                        <pic:cNvPr id="0" name="image9.png"/>
                        <pic:cNvPicPr preferRelativeResize="0"/>
                      </pic:nvPicPr>
                      <pic:blipFill>
                        <a:blip r:embed="rId15"/>
                        <a:srcRect/>
                        <a:stretch>
                          <a:fillRect/>
                        </a:stretch>
                      </pic:blipFill>
                      <pic:spPr>
                        <a:xfrm>
                          <a:off x="0" y="0"/>
                          <a:ext cx="2115681" cy="3314383"/>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1D">
      <w:pPr>
        <w:spacing w:line="240" w:lineRule="auto"/>
        <w:ind w:left="720" w:firstLine="0"/>
        <w:jc w:val="both"/>
        <w:rPr>
          <w:highlight w:val="white"/>
        </w:rPr>
      </w:pPr>
      <w:r w:rsidDel="00000000" w:rsidR="00000000" w:rsidRPr="00000000">
        <w:rPr>
          <w:rtl w:val="0"/>
        </w:rPr>
      </w:r>
    </w:p>
    <w:p w:rsidR="00000000" w:rsidDel="00000000" w:rsidP="00000000" w:rsidRDefault="00000000" w:rsidRPr="00000000" w14:paraId="0000001E">
      <w:pPr>
        <w:spacing w:line="240" w:lineRule="auto"/>
        <w:ind w:left="720" w:firstLine="0"/>
        <w:jc w:val="both"/>
        <w:rPr>
          <w:highlight w:val="white"/>
        </w:rPr>
      </w:pPr>
      <w:r w:rsidDel="00000000" w:rsidR="00000000" w:rsidRPr="00000000">
        <w:rPr>
          <w:rtl w:val="0"/>
        </w:rPr>
      </w:r>
    </w:p>
    <w:p w:rsidR="00000000" w:rsidDel="00000000" w:rsidP="00000000" w:rsidRDefault="00000000" w:rsidRPr="00000000" w14:paraId="0000001F">
      <w:pPr>
        <w:spacing w:line="240" w:lineRule="auto"/>
        <w:ind w:left="720" w:firstLine="0"/>
        <w:jc w:val="both"/>
        <w:rPr>
          <w:highlight w:val="white"/>
        </w:rPr>
      </w:pPr>
      <w:r w:rsidDel="00000000" w:rsidR="00000000" w:rsidRPr="00000000">
        <w:rPr>
          <w:rtl w:val="0"/>
        </w:rPr>
      </w:r>
    </w:p>
    <w:p w:rsidR="00000000" w:rsidDel="00000000" w:rsidP="00000000" w:rsidRDefault="00000000" w:rsidRPr="00000000" w14:paraId="00000020">
      <w:pPr>
        <w:spacing w:line="240" w:lineRule="auto"/>
        <w:ind w:left="720" w:firstLine="0"/>
        <w:jc w:val="both"/>
        <w:rPr>
          <w:highlight w:val="white"/>
        </w:rPr>
      </w:pPr>
      <w:r w:rsidDel="00000000" w:rsidR="00000000" w:rsidRPr="00000000">
        <w:rPr>
          <w:rtl w:val="0"/>
        </w:rPr>
      </w:r>
    </w:p>
    <w:p w:rsidR="00000000" w:rsidDel="00000000" w:rsidP="00000000" w:rsidRDefault="00000000" w:rsidRPr="00000000" w14:paraId="00000021">
      <w:pPr>
        <w:spacing w:line="240" w:lineRule="auto"/>
        <w:ind w:left="720" w:firstLine="0"/>
        <w:jc w:val="both"/>
        <w:rPr>
          <w:highlight w:val="white"/>
        </w:rPr>
      </w:pPr>
      <w:r w:rsidDel="00000000" w:rsidR="00000000" w:rsidRPr="00000000">
        <w:rPr>
          <w:rtl w:val="0"/>
        </w:rPr>
      </w:r>
    </w:p>
    <w:p w:rsidR="00000000" w:rsidDel="00000000" w:rsidP="00000000" w:rsidRDefault="00000000" w:rsidRPr="00000000" w14:paraId="00000022">
      <w:pPr>
        <w:spacing w:line="240" w:lineRule="auto"/>
        <w:ind w:left="720" w:firstLine="0"/>
        <w:jc w:val="both"/>
        <w:rPr>
          <w:highlight w:val="white"/>
        </w:rPr>
      </w:pPr>
      <w:r w:rsidDel="00000000" w:rsidR="00000000" w:rsidRPr="00000000">
        <w:rPr>
          <w:rtl w:val="0"/>
        </w:rPr>
      </w:r>
    </w:p>
    <w:p w:rsidR="00000000" w:rsidDel="00000000" w:rsidP="00000000" w:rsidRDefault="00000000" w:rsidRPr="00000000" w14:paraId="00000023">
      <w:pPr>
        <w:spacing w:line="240" w:lineRule="auto"/>
        <w:ind w:left="720" w:firstLine="0"/>
        <w:jc w:val="both"/>
        <w:rPr>
          <w:highlight w:val="white"/>
        </w:rPr>
      </w:pPr>
      <w:r w:rsidDel="00000000" w:rsidR="00000000" w:rsidRPr="00000000">
        <w:rPr>
          <w:rtl w:val="0"/>
        </w:rPr>
      </w:r>
    </w:p>
    <w:p w:rsidR="00000000" w:rsidDel="00000000" w:rsidP="00000000" w:rsidRDefault="00000000" w:rsidRPr="00000000" w14:paraId="00000024">
      <w:pPr>
        <w:spacing w:line="240" w:lineRule="auto"/>
        <w:ind w:left="720" w:firstLine="0"/>
        <w:jc w:val="both"/>
        <w:rPr>
          <w:highlight w:val="white"/>
        </w:rPr>
      </w:pPr>
      <w:r w:rsidDel="00000000" w:rsidR="00000000" w:rsidRPr="00000000">
        <w:rPr>
          <w:rtl w:val="0"/>
        </w:rPr>
      </w:r>
    </w:p>
    <w:p w:rsidR="00000000" w:rsidDel="00000000" w:rsidP="00000000" w:rsidRDefault="00000000" w:rsidRPr="00000000" w14:paraId="00000025">
      <w:pPr>
        <w:spacing w:line="240" w:lineRule="auto"/>
        <w:ind w:left="0" w:firstLine="0"/>
        <w:jc w:val="both"/>
        <w:rPr>
          <w:highlight w:val="white"/>
        </w:rPr>
      </w:pPr>
      <w:r w:rsidDel="00000000" w:rsidR="00000000" w:rsidRPr="00000000">
        <w:rPr>
          <w:rtl w:val="0"/>
        </w:rPr>
      </w:r>
    </w:p>
    <w:p w:rsidR="00000000" w:rsidDel="00000000" w:rsidP="00000000" w:rsidRDefault="00000000" w:rsidRPr="00000000" w14:paraId="00000026">
      <w:pPr>
        <w:spacing w:line="240" w:lineRule="auto"/>
        <w:ind w:left="720" w:firstLine="0"/>
        <w:jc w:val="both"/>
        <w:rPr>
          <w:highlight w:val="white"/>
        </w:rPr>
      </w:pPr>
      <w:r w:rsidDel="00000000" w:rsidR="00000000" w:rsidRPr="00000000">
        <w:rPr>
          <w:rtl w:val="0"/>
        </w:rPr>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t xml:space="preserve">Toda la operación deberá realizarse manteniendo siempre en funcionamiento un tanque de polielectrolito operativo.</w:t>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t xml:space="preserve">El alcance de la actuación constará de los siguientes apartados:</w:t>
      </w:r>
    </w:p>
    <w:p w:rsidR="00000000" w:rsidDel="00000000" w:rsidP="00000000" w:rsidRDefault="00000000" w:rsidRPr="00000000" w14:paraId="0000002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u w:val="none"/>
        </w:rPr>
      </w:pPr>
      <w:r w:rsidDel="00000000" w:rsidR="00000000" w:rsidRPr="00000000">
        <w:rPr>
          <w:rtl w:val="0"/>
        </w:rPr>
        <w:t xml:space="preserve">Desmontaje y retirada de los depósitos antiguos: Se procederá a la desinstalación y retirada de los depósitos existentes, asegurando su correcto desmontaje y gestión de residuos según indicado en el apartado correspondiente del pliego.</w:t>
      </w:r>
      <w:r w:rsidDel="00000000" w:rsidR="00000000" w:rsidRPr="00000000">
        <w:rPr>
          <w:rtl w:val="0"/>
        </w:rPr>
      </w:r>
    </w:p>
    <w:p w:rsidR="00000000" w:rsidDel="00000000" w:rsidP="00000000" w:rsidRDefault="00000000" w:rsidRPr="00000000" w14:paraId="0000002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u w:val="none"/>
        </w:rPr>
      </w:pPr>
      <w:r w:rsidDel="00000000" w:rsidR="00000000" w:rsidRPr="00000000">
        <w:rPr>
          <w:rtl w:val="0"/>
        </w:rPr>
        <w:t xml:space="preserve">Instalación de los nuevos depósitos: Se realizará el montaje e instalación de los nuevos depósitos, garantizando su correcta fijación y conexión con los sistemas existentes.</w:t>
      </w:r>
      <w:r w:rsidDel="00000000" w:rsidR="00000000" w:rsidRPr="00000000">
        <w:rPr>
          <w:rtl w:val="0"/>
        </w:rPr>
      </w:r>
    </w:p>
    <w:p w:rsidR="00000000" w:rsidDel="00000000" w:rsidP="00000000" w:rsidRDefault="00000000" w:rsidRPr="00000000" w14:paraId="0000002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u w:val="none"/>
        </w:rPr>
      </w:pPr>
      <w:r w:rsidDel="00000000" w:rsidR="00000000" w:rsidRPr="00000000">
        <w:rPr>
          <w:rtl w:val="0"/>
        </w:rPr>
        <w:t xml:space="preserve">Reubicación de la instalación eléctrica: Se llevará a cabo el desplazamiento de la instalación eléctrica desde el piso superior hasta los equipos situados en la planta inferior, asegurando el cumplimiento de las normativas de seguridad eléctrica.</w:t>
      </w:r>
      <w:r w:rsidDel="00000000" w:rsidR="00000000" w:rsidRPr="00000000">
        <w:rPr>
          <w:rtl w:val="0"/>
        </w:rPr>
      </w:r>
    </w:p>
    <w:p w:rsidR="00000000" w:rsidDel="00000000" w:rsidP="00000000" w:rsidRDefault="00000000" w:rsidRPr="00000000" w14:paraId="0000002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u w:val="none"/>
        </w:rPr>
      </w:pPr>
      <w:r w:rsidDel="00000000" w:rsidR="00000000" w:rsidRPr="00000000">
        <w:rPr>
          <w:rtl w:val="0"/>
        </w:rPr>
        <w:t xml:space="preserve">Instalación de sondas de nivel: Se procederá a la instalación de las sondas de nivel necesarias, incluyendo la incorporación de dos sondas adicionales para garantizar un control óptimo del nivel de los depósitos.</w:t>
      </w:r>
      <w:r w:rsidDel="00000000" w:rsidR="00000000" w:rsidRPr="00000000">
        <w:rPr>
          <w:rtl w:val="0"/>
        </w:rPr>
      </w:r>
    </w:p>
    <w:p w:rsidR="00000000" w:rsidDel="00000000" w:rsidP="00000000" w:rsidRDefault="00000000" w:rsidRPr="00000000" w14:paraId="0000002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u w:val="none"/>
        </w:rPr>
      </w:pPr>
      <w:r w:rsidDel="00000000" w:rsidR="00000000" w:rsidRPr="00000000">
        <w:rPr>
          <w:rtl w:val="0"/>
        </w:rPr>
        <w:t xml:space="preserve">Instalación de válvulas de los depósitos: Se procederá a la instalación de las válvulas necesarias para el correcto control y operación de los depósitos.</w:t>
      </w:r>
      <w:r w:rsidDel="00000000" w:rsidR="00000000" w:rsidRPr="00000000">
        <w:rPr>
          <w:rtl w:val="0"/>
        </w:rPr>
      </w:r>
    </w:p>
    <w:p w:rsidR="00000000" w:rsidDel="00000000" w:rsidP="00000000" w:rsidRDefault="00000000" w:rsidRPr="00000000" w14:paraId="0000002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u w:val="none"/>
        </w:rPr>
      </w:pPr>
      <w:r w:rsidDel="00000000" w:rsidR="00000000" w:rsidRPr="00000000">
        <w:rPr>
          <w:rtl w:val="0"/>
        </w:rPr>
        <w:t xml:space="preserve">Instalación de las tuberías de desagüe: Se llevará a cabo la instalación de las tuberías de desagüe de los depósitos, asegurando una evacuación eficiente y segura.</w:t>
      </w:r>
      <w:r w:rsidDel="00000000" w:rsidR="00000000" w:rsidRPr="00000000">
        <w:rPr>
          <w:rtl w:val="0"/>
        </w:rPr>
      </w:r>
    </w:p>
    <w:p w:rsidR="00000000" w:rsidDel="00000000" w:rsidP="00000000" w:rsidRDefault="00000000" w:rsidRPr="00000000" w14:paraId="0000003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u w:val="none"/>
        </w:rPr>
      </w:pPr>
      <w:r w:rsidDel="00000000" w:rsidR="00000000" w:rsidRPr="00000000">
        <w:rPr>
          <w:rtl w:val="0"/>
        </w:rPr>
        <w:t xml:space="preserve">Transporte de los depósitos y materiales: Se gestionará el transporte de los nuevos depósitos y materiales necesarios hasta el lugar de instalación, garantizando su integridad durante el traslado.</w:t>
      </w: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sz w:val="18"/>
          <w:szCs w:val="18"/>
        </w:rPr>
      </w:pPr>
      <w:r w:rsidDel="00000000" w:rsidR="00000000" w:rsidRPr="00000000">
        <w:rPr>
          <w:rtl w:val="0"/>
        </w:rPr>
        <w:t xml:space="preserve">Se deberá contemplar todo el movimiento de instalaciones necesarias para hacer la retirada de los depósitos antiguos y la instalación de los nuevos, tanto sea por ubicación de nuevos puntos de conexión como para maniobrar con los depósitos en el proceso de desmontaje y montaje.</w:t>
      </w:r>
      <w:r w:rsidDel="00000000" w:rsidR="00000000" w:rsidRPr="00000000">
        <w:rPr>
          <w:rtl w:val="0"/>
        </w:rPr>
      </w:r>
    </w:p>
    <w:sectPr>
      <w:headerReference r:id="rId16" w:type="default"/>
      <w:headerReference r:id="rId17" w:type="first"/>
      <w:footerReference r:id="rId18" w:type="default"/>
      <w:footerReference r:id="rId19" w:type="first"/>
      <w:pgSz w:h="16834" w:w="11909" w:orient="portrait"/>
      <w:pgMar w:bottom="1440" w:top="1440" w:left="1440" w:right="1440" w:header="1417.3228346456694" w:footer="1417.3228346456694"/>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5">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6">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3">
    <w:pPr>
      <w:jc w:val="right"/>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-85716</wp:posOffset>
          </wp:positionH>
          <wp:positionV relativeFrom="paragraph">
            <wp:posOffset>-533393</wp:posOffset>
          </wp:positionV>
          <wp:extent cx="1490345" cy="410210"/>
          <wp:effectExtent b="0" l="0" r="0" t="0"/>
          <wp:wrapNone/>
          <wp:docPr id="50"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1490345" cy="410210"/>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4">
    <w:pPr>
      <w:jc w:val="right"/>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-238118</wp:posOffset>
          </wp:positionH>
          <wp:positionV relativeFrom="paragraph">
            <wp:posOffset>-485766</wp:posOffset>
          </wp:positionV>
          <wp:extent cx="1490345" cy="410210"/>
          <wp:effectExtent b="0" l="0" r="0" t="0"/>
          <wp:wrapNone/>
          <wp:docPr id="49"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1490345" cy="4102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ind w:left="720" w:hanging="360"/>
    </w:pPr>
    <w:rPr>
      <w:b w:val="1"/>
      <w:color w:val="0b5394"/>
      <w:sz w:val="24"/>
      <w:szCs w:val="24"/>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spacing w:after="80" w:before="320" w:lineRule="auto"/>
      <w:ind w:left="2160" w:hanging="360"/>
      <w:jc w:val="both"/>
    </w:pPr>
    <w:rPr>
      <w:b w:val="1"/>
      <w:color w:val="0b5394"/>
      <w:sz w:val="24"/>
      <w:szCs w:val="24"/>
      <w:u w:val="single"/>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6.jpg"/><Relationship Id="rId10" Type="http://schemas.openxmlformats.org/officeDocument/2006/relationships/image" Target="media/image2.png"/><Relationship Id="rId13" Type="http://schemas.openxmlformats.org/officeDocument/2006/relationships/image" Target="media/image7.png"/><Relationship Id="rId12" Type="http://schemas.openxmlformats.org/officeDocument/2006/relationships/image" Target="media/image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jpg"/><Relationship Id="rId15" Type="http://schemas.openxmlformats.org/officeDocument/2006/relationships/image" Target="media/image9.png"/><Relationship Id="rId14" Type="http://schemas.openxmlformats.org/officeDocument/2006/relationships/image" Target="media/image10.png"/><Relationship Id="rId17" Type="http://schemas.openxmlformats.org/officeDocument/2006/relationships/header" Target="header2.xml"/><Relationship Id="rId16" Type="http://schemas.openxmlformats.org/officeDocument/2006/relationships/header" Target="header1.xml"/><Relationship Id="rId5" Type="http://schemas.openxmlformats.org/officeDocument/2006/relationships/styles" Target="styles.xml"/><Relationship Id="rId19" Type="http://schemas.openxmlformats.org/officeDocument/2006/relationships/footer" Target="footer2.xml"/><Relationship Id="rId6" Type="http://schemas.openxmlformats.org/officeDocument/2006/relationships/customXml" Target="../customXML/item1.xml"/><Relationship Id="rId18" Type="http://schemas.openxmlformats.org/officeDocument/2006/relationships/footer" Target="footer1.xml"/><Relationship Id="rId7" Type="http://schemas.openxmlformats.org/officeDocument/2006/relationships/image" Target="media/image8.jpg"/><Relationship Id="rId8" Type="http://schemas.openxmlformats.org/officeDocument/2006/relationships/image" Target="media/image3.jp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43W89h0pk3etWSsSUj5KbXffqg==">CgMxLjAyDmguZ2YwOXRxYml6MGh0Mg5oLmZ4Yzlsb2VoMXp1bjIOaC4zd3kzdHpnaDl4bWk4AHIhMWktWFZEV0lVVkNVMEJMSkVxNHVkeFI3Q09vVTdreXN2</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